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092B" w:rsidRPr="008B737C" w:rsidRDefault="002D092B" w:rsidP="002D092B">
      <w:pPr>
        <w:spacing w:after="60" w:line="240" w:lineRule="auto"/>
        <w:ind w:right="-144" w:hanging="274"/>
        <w:jc w:val="center"/>
        <w:rPr>
          <w:rFonts w:ascii="Arial" w:eastAsia="Times New Roman" w:hAnsi="Arial" w:cs="Arial"/>
          <w:i/>
          <w:iCs/>
          <w:noProof/>
          <w:color w:val="000000"/>
          <w:sz w:val="40"/>
          <w:szCs w:val="40"/>
        </w:rPr>
      </w:pPr>
      <w:r w:rsidRPr="008B737C">
        <w:rPr>
          <w:rFonts w:ascii="Arial" w:eastAsia="Times New Roman" w:hAnsi="Arial" w:cs="Arial"/>
          <w:i/>
          <w:iCs/>
          <w:noProof/>
          <w:color w:val="000000"/>
          <w:sz w:val="40"/>
          <w:szCs w:val="40"/>
        </w:rPr>
        <w:drawing>
          <wp:inline distT="0" distB="0" distL="0" distR="0" wp14:anchorId="615BFD04" wp14:editId="21066416">
            <wp:extent cx="1042416" cy="539496"/>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berry_stacked_4c_lg.jpg"/>
                    <pic:cNvPicPr/>
                  </pic:nvPicPr>
                  <pic:blipFill>
                    <a:blip r:embed="rId8">
                      <a:extLst>
                        <a:ext uri="{28A0092B-C50C-407E-A947-70E740481C1C}">
                          <a14:useLocalDpi xmlns:a14="http://schemas.microsoft.com/office/drawing/2010/main" val="0"/>
                        </a:ext>
                      </a:extLst>
                    </a:blip>
                    <a:stretch>
                      <a:fillRect/>
                    </a:stretch>
                  </pic:blipFill>
                  <pic:spPr>
                    <a:xfrm>
                      <a:off x="0" y="0"/>
                      <a:ext cx="1042416" cy="539496"/>
                    </a:xfrm>
                    <a:prstGeom prst="rect">
                      <a:avLst/>
                    </a:prstGeom>
                  </pic:spPr>
                </pic:pic>
              </a:graphicData>
            </a:graphic>
          </wp:inline>
        </w:drawing>
      </w:r>
    </w:p>
    <w:p w:rsidR="002D092B" w:rsidRPr="008B737C" w:rsidRDefault="002D092B" w:rsidP="002D092B">
      <w:pPr>
        <w:spacing w:before="80" w:after="60" w:line="240" w:lineRule="auto"/>
        <w:ind w:right="-144" w:hanging="274"/>
        <w:jc w:val="center"/>
        <w:rPr>
          <w:rFonts w:ascii="Garamond" w:eastAsia="Times New Roman" w:hAnsi="Garamond" w:cs="Arial"/>
          <w:i/>
          <w:iCs/>
          <w:color w:val="000000"/>
          <w:sz w:val="40"/>
          <w:szCs w:val="40"/>
        </w:rPr>
      </w:pPr>
      <w:r w:rsidRPr="008B737C">
        <w:rPr>
          <w:rFonts w:ascii="Garamond" w:eastAsia="Times New Roman" w:hAnsi="Garamond" w:cs="Arial"/>
          <w:i/>
          <w:iCs/>
          <w:color w:val="000000"/>
          <w:sz w:val="40"/>
          <w:szCs w:val="40"/>
        </w:rPr>
        <w:t>Center for Renaissance Studies</w:t>
      </w:r>
    </w:p>
    <w:p w:rsidR="002D092B" w:rsidRPr="003B44B8" w:rsidRDefault="003B44B8" w:rsidP="002D092B">
      <w:pPr>
        <w:keepNext/>
        <w:spacing w:after="60" w:line="240" w:lineRule="auto"/>
        <w:jc w:val="center"/>
        <w:outlineLvl w:val="1"/>
        <w:rPr>
          <w:rFonts w:ascii="Garamond" w:eastAsia="Times New Roman" w:hAnsi="Garamond" w:cs="Arial"/>
          <w:b/>
          <w:color w:val="31849B" w:themeColor="accent5" w:themeShade="BF"/>
          <w:sz w:val="40"/>
          <w:szCs w:val="44"/>
        </w:rPr>
      </w:pPr>
      <w:r w:rsidRPr="003B44B8">
        <w:rPr>
          <w:rFonts w:ascii="Garamond" w:eastAsia="Times New Roman" w:hAnsi="Garamond" w:cs="Arial"/>
          <w:b/>
          <w:color w:val="31849B" w:themeColor="accent5" w:themeShade="BF"/>
          <w:sz w:val="40"/>
          <w:szCs w:val="44"/>
        </w:rPr>
        <w:t>Mellon Summer Institute in Spanish Paleography</w:t>
      </w:r>
    </w:p>
    <w:p w:rsidR="00BA73F7" w:rsidRDefault="00BA73F7" w:rsidP="002D092B">
      <w:pPr>
        <w:tabs>
          <w:tab w:val="left" w:pos="9630"/>
        </w:tabs>
        <w:spacing w:after="0" w:line="240" w:lineRule="auto"/>
        <w:jc w:val="center"/>
        <w:rPr>
          <w:rFonts w:ascii="Garamond" w:eastAsia="Times New Roman" w:hAnsi="Garamond" w:cs="Arial"/>
          <w:color w:val="000000"/>
          <w:sz w:val="24"/>
          <w:szCs w:val="32"/>
        </w:rPr>
      </w:pPr>
    </w:p>
    <w:p w:rsidR="002D092B" w:rsidRPr="00BA73F7" w:rsidRDefault="003B44B8" w:rsidP="002D092B">
      <w:pPr>
        <w:tabs>
          <w:tab w:val="left" w:pos="9630"/>
        </w:tabs>
        <w:spacing w:after="0" w:line="240" w:lineRule="auto"/>
        <w:jc w:val="center"/>
        <w:rPr>
          <w:rFonts w:ascii="Garamond" w:eastAsia="Times New Roman" w:hAnsi="Garamond" w:cs="Arial"/>
          <w:color w:val="000000"/>
          <w:sz w:val="24"/>
          <w:szCs w:val="32"/>
        </w:rPr>
      </w:pPr>
      <w:r w:rsidRPr="00BA73F7">
        <w:rPr>
          <w:rFonts w:ascii="Garamond" w:eastAsia="Times New Roman" w:hAnsi="Garamond" w:cs="Arial"/>
          <w:color w:val="000000"/>
          <w:sz w:val="24"/>
          <w:szCs w:val="32"/>
        </w:rPr>
        <w:t>June 12, 2017 – June 30, 2017</w:t>
      </w:r>
    </w:p>
    <w:p w:rsidR="002D092B" w:rsidRDefault="002D092B" w:rsidP="002D092B">
      <w:pPr>
        <w:spacing w:after="0" w:line="240" w:lineRule="auto"/>
        <w:rPr>
          <w:rFonts w:ascii="Garamond" w:eastAsia="Times New Roman" w:hAnsi="Garamond" w:cs="Tahoma"/>
          <w:sz w:val="24"/>
          <w:szCs w:val="24"/>
        </w:rPr>
      </w:pPr>
    </w:p>
    <w:p w:rsidR="003B44B8" w:rsidRPr="00BA73F7" w:rsidRDefault="003B44B8" w:rsidP="003B44B8">
      <w:pPr>
        <w:tabs>
          <w:tab w:val="left" w:pos="9630"/>
        </w:tabs>
        <w:spacing w:after="0" w:line="240" w:lineRule="auto"/>
        <w:jc w:val="center"/>
        <w:rPr>
          <w:rFonts w:ascii="Garamond" w:eastAsia="Times New Roman" w:hAnsi="Garamond" w:cs="Tahoma"/>
          <w:b/>
          <w:sz w:val="28"/>
        </w:rPr>
      </w:pPr>
      <w:r w:rsidRPr="00BA73F7">
        <w:rPr>
          <w:rFonts w:ascii="Garamond" w:eastAsia="Times New Roman" w:hAnsi="Garamond" w:cs="Tahoma"/>
          <w:b/>
          <w:sz w:val="28"/>
        </w:rPr>
        <w:t xml:space="preserve">Directed by Carla </w:t>
      </w:r>
      <w:proofErr w:type="spellStart"/>
      <w:r w:rsidRPr="00BA73F7">
        <w:rPr>
          <w:rFonts w:ascii="Garamond" w:eastAsia="Times New Roman" w:hAnsi="Garamond" w:cs="Tahoma"/>
          <w:b/>
          <w:sz w:val="28"/>
        </w:rPr>
        <w:t>Rahn</w:t>
      </w:r>
      <w:proofErr w:type="spellEnd"/>
      <w:r w:rsidRPr="00BA73F7">
        <w:rPr>
          <w:rFonts w:ascii="Garamond" w:eastAsia="Times New Roman" w:hAnsi="Garamond" w:cs="Tahoma"/>
          <w:b/>
          <w:sz w:val="28"/>
        </w:rPr>
        <w:t xml:space="preserve"> Phillips, Emerita, University of Minnesota</w:t>
      </w:r>
    </w:p>
    <w:p w:rsidR="003B44B8" w:rsidRDefault="00064AAB" w:rsidP="003B44B8">
      <w:pPr>
        <w:contextualSpacing/>
        <w:rPr>
          <w:rFonts w:ascii="Garamond" w:eastAsia="Times New Roman" w:hAnsi="Garamond" w:cs="Arial"/>
          <w:color w:val="000000"/>
        </w:rPr>
      </w:pPr>
      <w:r w:rsidRPr="00064AAB">
        <w:rPr>
          <w:rFonts w:ascii="Garamond" w:eastAsia="Times New Roman" w:hAnsi="Garamond" w:cs="Arial"/>
          <w:noProof/>
          <w:color w:val="000000"/>
        </w:rPr>
        <w:drawing>
          <wp:anchor distT="0" distB="0" distL="114300" distR="114300" simplePos="0" relativeHeight="251658240" behindDoc="1" locked="0" layoutInCell="1" allowOverlap="1" wp14:anchorId="7145C524" wp14:editId="1CA8EE57">
            <wp:simplePos x="0" y="0"/>
            <wp:positionH relativeFrom="column">
              <wp:posOffset>0</wp:posOffset>
            </wp:positionH>
            <wp:positionV relativeFrom="paragraph">
              <wp:posOffset>172085</wp:posOffset>
            </wp:positionV>
            <wp:extent cx="2292350" cy="1600200"/>
            <wp:effectExtent l="0" t="0" r="0" b="0"/>
            <wp:wrapTight wrapText="bothSides">
              <wp:wrapPolygon edited="0">
                <wp:start x="0" y="0"/>
                <wp:lineTo x="0" y="21343"/>
                <wp:lineTo x="21361" y="21343"/>
                <wp:lineTo x="21361" y="0"/>
                <wp:lineTo x="0" y="0"/>
              </wp:wrapPolygon>
            </wp:wrapTight>
            <wp:docPr id="2" name="Picture 2" descr="https://www.newberry.org/sites/default/files/styles/lightbox-overlay/public/news/Case%20MS%20129_2%20copy.jpg?itok=2YfcJKz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newberry.org/sites/default/files/styles/lightbox-overlay/public/news/Case%20MS%20129_2%20copy.jpg?itok=2YfcJKz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92350" cy="1600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B44B8" w:rsidRPr="003B44B8" w:rsidRDefault="003B44B8" w:rsidP="003B44B8">
      <w:pPr>
        <w:contextualSpacing/>
        <w:rPr>
          <w:rFonts w:ascii="Garamond" w:eastAsia="Times New Roman" w:hAnsi="Garamond" w:cs="Arial"/>
          <w:color w:val="000000"/>
        </w:rPr>
      </w:pPr>
      <w:r w:rsidRPr="003B44B8">
        <w:rPr>
          <w:rFonts w:ascii="Garamond" w:eastAsia="Times New Roman" w:hAnsi="Garamond" w:cs="Arial"/>
          <w:color w:val="000000"/>
        </w:rPr>
        <w:t>The institute will provide participants with practical training in reading and transcribing documents written in Spain and Spanish America from the late fifteenth to the early eighteenth centuries. Although the course sessions will be taught primarily in English, all of the documents will be in Spanish. Participants must indicate in their applications that they have a working knowledge of the Spanish language. They should also indicate why this institute would be of use to them in their research, teaching, or professional lives. Participants will have time available outside of class for required homework and for their own research projects.</w:t>
      </w:r>
    </w:p>
    <w:p w:rsidR="003B44B8" w:rsidRPr="003B44B8" w:rsidRDefault="003B44B8" w:rsidP="003B44B8">
      <w:pPr>
        <w:contextualSpacing/>
        <w:rPr>
          <w:rFonts w:ascii="Garamond" w:eastAsia="Times New Roman" w:hAnsi="Garamond" w:cs="Arial"/>
          <w:color w:val="000000"/>
        </w:rPr>
      </w:pPr>
    </w:p>
    <w:p w:rsidR="003B44B8" w:rsidRPr="003B44B8" w:rsidRDefault="003B44B8" w:rsidP="003B44B8">
      <w:pPr>
        <w:rPr>
          <w:rFonts w:ascii="Garamond" w:eastAsiaTheme="minorEastAsia" w:hAnsi="Garamond" w:cs="Times"/>
          <w:color w:val="131313"/>
        </w:rPr>
      </w:pPr>
      <w:r w:rsidRPr="003B44B8">
        <w:rPr>
          <w:rFonts w:ascii="Garamond" w:eastAsiaTheme="minorEastAsia" w:hAnsi="Garamond" w:cs="Times"/>
          <w:b/>
          <w:color w:val="131313"/>
        </w:rPr>
        <w:t>Schedule</w:t>
      </w:r>
      <w:r w:rsidRPr="003B44B8">
        <w:rPr>
          <w:rFonts w:ascii="Garamond" w:eastAsiaTheme="minorEastAsia" w:hAnsi="Garamond" w:cs="Times"/>
          <w:color w:val="131313"/>
        </w:rPr>
        <w:t>: The institute will meet in the mornings Monday through Friday, plus a couple of hours on the Monday afternoons, for three weeks.</w:t>
      </w:r>
    </w:p>
    <w:p w:rsidR="003B44B8" w:rsidRPr="003B44B8" w:rsidRDefault="003B44B8" w:rsidP="003B44B8">
      <w:pPr>
        <w:rPr>
          <w:rFonts w:ascii="Garamond" w:eastAsiaTheme="minorEastAsia" w:hAnsi="Garamond" w:cs="Times"/>
          <w:color w:val="131313"/>
        </w:rPr>
      </w:pPr>
      <w:r w:rsidRPr="003B44B8">
        <w:rPr>
          <w:rFonts w:ascii="Garamond" w:eastAsiaTheme="minorEastAsia" w:hAnsi="Garamond" w:cs="Times"/>
          <w:b/>
          <w:color w:val="131313"/>
        </w:rPr>
        <w:t>Eligibility</w:t>
      </w:r>
      <w:r w:rsidRPr="003B44B8">
        <w:rPr>
          <w:rFonts w:ascii="Garamond" w:eastAsiaTheme="minorEastAsia" w:hAnsi="Garamond" w:cs="Times"/>
          <w:color w:val="131313"/>
        </w:rPr>
        <w:t xml:space="preserve">: Each institute will enroll 15 participants. First consideration will be given to advanced graduate students and junior faculty at U.S. and Canadian colleges and universities, but applications will also be accepted from associate and full professors at U.S. and Canadian colleges and universities, from professional staff of U.S. and Canadian libraries and museums, and from qualified independent scholars. Advanced language skills are required. Applicants selected for admission will receive a stipend to help defray expenses </w:t>
      </w:r>
      <w:proofErr w:type="gramStart"/>
      <w:r w:rsidRPr="003B44B8">
        <w:rPr>
          <w:rFonts w:ascii="Garamond" w:eastAsiaTheme="minorEastAsia" w:hAnsi="Garamond" w:cs="Times"/>
          <w:color w:val="131313"/>
        </w:rPr>
        <w:t>while</w:t>
      </w:r>
      <w:proofErr w:type="gramEnd"/>
      <w:r w:rsidRPr="003B44B8">
        <w:rPr>
          <w:rFonts w:ascii="Garamond" w:eastAsiaTheme="minorEastAsia" w:hAnsi="Garamond" w:cs="Times"/>
          <w:color w:val="131313"/>
        </w:rPr>
        <w:t xml:space="preserve"> attending the institute.</w:t>
      </w:r>
    </w:p>
    <w:p w:rsidR="003B44B8" w:rsidRPr="003B44B8" w:rsidRDefault="003B44B8" w:rsidP="003B44B8">
      <w:pPr>
        <w:rPr>
          <w:rFonts w:ascii="Garamond" w:eastAsiaTheme="minorEastAsia" w:hAnsi="Garamond" w:cs="Times"/>
          <w:color w:val="131313"/>
        </w:rPr>
      </w:pPr>
      <w:r w:rsidRPr="003B44B8">
        <w:rPr>
          <w:rFonts w:ascii="Garamond" w:eastAsiaTheme="minorEastAsia" w:hAnsi="Garamond" w:cs="Times"/>
          <w:b/>
          <w:color w:val="131313"/>
        </w:rPr>
        <w:t>Award</w:t>
      </w:r>
      <w:r w:rsidRPr="003B44B8">
        <w:rPr>
          <w:rFonts w:ascii="Garamond" w:eastAsiaTheme="minorEastAsia" w:hAnsi="Garamond" w:cs="Times"/>
          <w:color w:val="131313"/>
        </w:rPr>
        <w:t>: All successful applicants will receive a stipend of $970; non-local participants will receive an additional stipend of $2,500 to help cover travel and housing expenses. There are no fees associated with the institute.</w:t>
      </w:r>
    </w:p>
    <w:p w:rsidR="003B44B8" w:rsidRPr="003B44B8" w:rsidRDefault="003B44B8" w:rsidP="003B44B8">
      <w:pPr>
        <w:rPr>
          <w:rFonts w:ascii="Garamond" w:eastAsiaTheme="minorEastAsia" w:hAnsi="Garamond" w:cs="Times"/>
          <w:color w:val="131313"/>
        </w:rPr>
      </w:pPr>
      <w:r w:rsidRPr="003B44B8">
        <w:rPr>
          <w:rFonts w:ascii="Garamond" w:eastAsiaTheme="minorEastAsia" w:hAnsi="Garamond" w:cs="Times"/>
          <w:b/>
          <w:color w:val="131313"/>
        </w:rPr>
        <w:t>Prerequisite</w:t>
      </w:r>
      <w:r w:rsidRPr="003B44B8">
        <w:rPr>
          <w:rFonts w:ascii="Garamond" w:eastAsiaTheme="minorEastAsia" w:hAnsi="Garamond" w:cs="Times"/>
          <w:color w:val="131313"/>
        </w:rPr>
        <w:t xml:space="preserve">: This graduate-level course is taught in English, but participants </w:t>
      </w:r>
      <w:bookmarkStart w:id="0" w:name="_GoBack"/>
      <w:bookmarkEnd w:id="0"/>
      <w:r w:rsidRPr="003B44B8">
        <w:rPr>
          <w:rFonts w:ascii="Garamond" w:eastAsiaTheme="minorEastAsia" w:hAnsi="Garamond" w:cs="Times"/>
          <w:color w:val="131313"/>
        </w:rPr>
        <w:t>will do extensive reading in early forms of Spanish; advanced language skills are required.</w:t>
      </w:r>
    </w:p>
    <w:p w:rsidR="003B44B8" w:rsidRPr="003B44B8" w:rsidRDefault="003B44B8" w:rsidP="00DB6BB5">
      <w:pPr>
        <w:rPr>
          <w:rFonts w:ascii="Garamond" w:eastAsiaTheme="minorEastAsia" w:hAnsi="Garamond" w:cs="Times"/>
          <w:color w:val="131313"/>
        </w:rPr>
      </w:pPr>
      <w:proofErr w:type="gramStart"/>
      <w:r w:rsidRPr="003B44B8">
        <w:rPr>
          <w:rFonts w:ascii="Garamond" w:eastAsiaTheme="minorEastAsia" w:hAnsi="Garamond" w:cs="Times"/>
          <w:color w:val="131313"/>
        </w:rPr>
        <w:t xml:space="preserve">Funded by a major grant from the </w:t>
      </w:r>
      <w:r w:rsidRPr="00DB6BB5">
        <w:rPr>
          <w:rFonts w:ascii="Garamond" w:eastAsiaTheme="minorEastAsia" w:hAnsi="Garamond" w:cs="Times"/>
        </w:rPr>
        <w:t>Andrew W. Mellon Foundation</w:t>
      </w:r>
      <w:r w:rsidRPr="003B44B8">
        <w:rPr>
          <w:rFonts w:ascii="Garamond" w:eastAsiaTheme="minorEastAsia" w:hAnsi="Garamond" w:cs="Times"/>
          <w:color w:val="131313"/>
        </w:rPr>
        <w:t>.</w:t>
      </w:r>
      <w:proofErr w:type="gramEnd"/>
    </w:p>
    <w:p w:rsidR="00BA73F7" w:rsidRDefault="00BA73F7" w:rsidP="002D092B">
      <w:pPr>
        <w:jc w:val="center"/>
        <w:rPr>
          <w:rFonts w:ascii="Garamond" w:eastAsiaTheme="minorEastAsia" w:hAnsi="Garamond" w:cs="Times"/>
          <w:color w:val="131313"/>
        </w:rPr>
      </w:pPr>
    </w:p>
    <w:p w:rsidR="00DB6BB5" w:rsidRDefault="00DB6BB5" w:rsidP="002D092B">
      <w:pPr>
        <w:jc w:val="center"/>
        <w:rPr>
          <w:rFonts w:ascii="Garamond" w:eastAsiaTheme="minorEastAsia" w:hAnsi="Garamond" w:cs="Times"/>
          <w:color w:val="131313"/>
        </w:rPr>
      </w:pPr>
    </w:p>
    <w:p w:rsidR="00DB6BB5" w:rsidRDefault="00DB6BB5" w:rsidP="002D092B">
      <w:pPr>
        <w:jc w:val="center"/>
        <w:rPr>
          <w:rFonts w:ascii="Garamond" w:eastAsiaTheme="minorEastAsia" w:hAnsi="Garamond" w:cs="Times"/>
          <w:color w:val="131313"/>
        </w:rPr>
      </w:pPr>
    </w:p>
    <w:p w:rsidR="003B44B8" w:rsidRDefault="003B44B8" w:rsidP="002D092B">
      <w:pPr>
        <w:jc w:val="center"/>
        <w:rPr>
          <w:rFonts w:ascii="Garamond" w:eastAsia="Times New Roman" w:hAnsi="Garamond" w:cs="Arial"/>
          <w:b/>
          <w:color w:val="31849B" w:themeColor="accent5" w:themeShade="BF"/>
          <w:sz w:val="24"/>
          <w:szCs w:val="48"/>
        </w:rPr>
      </w:pPr>
      <w:r w:rsidRPr="003B44B8">
        <w:rPr>
          <w:rFonts w:ascii="Garamond" w:eastAsiaTheme="minorEastAsia" w:hAnsi="Garamond" w:cs="Times"/>
          <w:color w:val="131313"/>
        </w:rPr>
        <w:t>Application deadline is March 1, 2017.</w:t>
      </w:r>
    </w:p>
    <w:p w:rsidR="00303C27" w:rsidRDefault="002D092B" w:rsidP="003B44B8">
      <w:pPr>
        <w:jc w:val="center"/>
      </w:pPr>
      <w:r w:rsidRPr="008B737C">
        <w:rPr>
          <w:rFonts w:ascii="Garamond" w:eastAsia="Times New Roman" w:hAnsi="Garamond" w:cs="Arial"/>
          <w:b/>
          <w:color w:val="31849B" w:themeColor="accent5" w:themeShade="BF"/>
          <w:sz w:val="24"/>
          <w:szCs w:val="48"/>
        </w:rPr>
        <w:t>www.newberry.org/renaissance</w:t>
      </w:r>
    </w:p>
    <w:sectPr w:rsidR="00303C27" w:rsidSect="002D092B">
      <w:footerReference w:type="default" r:id="rId10"/>
      <w:pgSz w:w="12240" w:h="15840" w:code="1"/>
      <w:pgMar w:top="907" w:right="1440" w:bottom="1080" w:left="1440" w:header="720" w:footer="720" w:gutter="0"/>
      <w:pgBorders w:offsetFrom="page">
        <w:top w:val="double" w:sz="4" w:space="24" w:color="632423" w:themeColor="accent2" w:themeShade="80"/>
        <w:left w:val="double" w:sz="4" w:space="24" w:color="632423" w:themeColor="accent2" w:themeShade="80"/>
        <w:bottom w:val="double" w:sz="4" w:space="24" w:color="632423" w:themeColor="accent2" w:themeShade="80"/>
        <w:right w:val="double" w:sz="4" w:space="24" w:color="632423" w:themeColor="accent2" w:themeShade="80"/>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6419" w:rsidRDefault="00BB0693">
      <w:pPr>
        <w:spacing w:after="0" w:line="240" w:lineRule="auto"/>
      </w:pPr>
      <w:r>
        <w:separator/>
      </w:r>
    </w:p>
  </w:endnote>
  <w:endnote w:type="continuationSeparator" w:id="0">
    <w:p w:rsidR="00156419" w:rsidRDefault="00BB06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5B33" w:rsidRDefault="00BA73F7">
    <w:pPr>
      <w:pStyle w:val="Footer"/>
      <w:jc w:val="center"/>
      <w:rPr>
        <w:rFonts w:ascii="Arial" w:hAnsi="Arial" w:cs="Arial"/>
        <w:sz w:val="16"/>
      </w:rPr>
    </w:pPr>
    <w:r>
      <w:rPr>
        <w:rFonts w:ascii="Arial" w:hAnsi="Arial" w:cs="Arial"/>
        <w:sz w:val="16"/>
      </w:rPr>
      <w:t xml:space="preserve">60 West Walton Street </w:t>
    </w:r>
    <w:r>
      <w:rPr>
        <w:rFonts w:ascii="Arial" w:hAnsi="Arial" w:cs="Arial"/>
        <w:sz w:val="16"/>
      </w:rPr>
      <w:sym w:font="Wingdings" w:char="F0B2"/>
    </w:r>
    <w:r>
      <w:rPr>
        <w:rFonts w:ascii="Arial" w:hAnsi="Arial" w:cs="Arial"/>
        <w:sz w:val="16"/>
      </w:rPr>
      <w:t xml:space="preserve"> Chicago, IL 60610  </w:t>
    </w:r>
    <w:r>
      <w:rPr>
        <w:rFonts w:ascii="Arial" w:hAnsi="Arial" w:cs="Arial"/>
        <w:sz w:val="16"/>
      </w:rPr>
      <w:sym w:font="Wingdings" w:char="F0B2"/>
    </w:r>
    <w:r>
      <w:rPr>
        <w:rFonts w:ascii="Arial" w:hAnsi="Arial" w:cs="Arial"/>
        <w:sz w:val="16"/>
      </w:rPr>
      <w:t xml:space="preserve">  312-255-3514 </w:t>
    </w:r>
    <w:r>
      <w:rPr>
        <w:rFonts w:ascii="Arial" w:hAnsi="Arial" w:cs="Arial"/>
        <w:sz w:val="16"/>
      </w:rPr>
      <w:sym w:font="Wingdings" w:char="F0B2"/>
    </w:r>
    <w:r>
      <w:rPr>
        <w:rFonts w:ascii="Arial" w:hAnsi="Arial" w:cs="Arial"/>
        <w:sz w:val="16"/>
      </w:rPr>
      <w:t xml:space="preserve"> renaissance@newberry.org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6419" w:rsidRDefault="00BB0693">
      <w:pPr>
        <w:spacing w:after="0" w:line="240" w:lineRule="auto"/>
      </w:pPr>
      <w:r>
        <w:separator/>
      </w:r>
    </w:p>
  </w:footnote>
  <w:footnote w:type="continuationSeparator" w:id="0">
    <w:p w:rsidR="00156419" w:rsidRDefault="00BB069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2146A"/>
    <w:multiLevelType w:val="hybridMultilevel"/>
    <w:tmpl w:val="5EB6DA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092B"/>
    <w:rsid w:val="00064AAB"/>
    <w:rsid w:val="00156419"/>
    <w:rsid w:val="002D092B"/>
    <w:rsid w:val="00303C27"/>
    <w:rsid w:val="003B44B8"/>
    <w:rsid w:val="00BA73F7"/>
    <w:rsid w:val="00BB0693"/>
    <w:rsid w:val="00DB6B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09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2D092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D092B"/>
  </w:style>
  <w:style w:type="character" w:styleId="Hyperlink">
    <w:name w:val="Hyperlink"/>
    <w:basedOn w:val="DefaultParagraphFont"/>
    <w:uiPriority w:val="99"/>
    <w:unhideWhenUsed/>
    <w:rsid w:val="002D092B"/>
    <w:rPr>
      <w:color w:val="0000FF" w:themeColor="hyperlink"/>
      <w:u w:val="single"/>
    </w:rPr>
  </w:style>
  <w:style w:type="paragraph" w:styleId="ListParagraph">
    <w:name w:val="List Paragraph"/>
    <w:basedOn w:val="Normal"/>
    <w:uiPriority w:val="34"/>
    <w:qFormat/>
    <w:rsid w:val="002D092B"/>
    <w:pPr>
      <w:spacing w:after="0" w:line="240" w:lineRule="auto"/>
      <w:ind w:left="720"/>
      <w:contextualSpacing/>
    </w:pPr>
    <w:rPr>
      <w:rFonts w:ascii="Times New Roman" w:eastAsia="Times New Roman" w:hAnsi="Times New Roman" w:cs="Tahoma"/>
      <w:sz w:val="24"/>
      <w:szCs w:val="24"/>
    </w:rPr>
  </w:style>
  <w:style w:type="paragraph" w:styleId="BalloonText">
    <w:name w:val="Balloon Text"/>
    <w:basedOn w:val="Normal"/>
    <w:link w:val="BalloonTextChar"/>
    <w:uiPriority w:val="99"/>
    <w:semiHidden/>
    <w:unhideWhenUsed/>
    <w:rsid w:val="002D09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092B"/>
    <w:rPr>
      <w:rFonts w:ascii="Tahoma" w:hAnsi="Tahoma" w:cs="Tahoma"/>
      <w:sz w:val="16"/>
      <w:szCs w:val="16"/>
    </w:rPr>
  </w:style>
  <w:style w:type="character" w:styleId="FollowedHyperlink">
    <w:name w:val="FollowedHyperlink"/>
    <w:basedOn w:val="DefaultParagraphFont"/>
    <w:uiPriority w:val="99"/>
    <w:semiHidden/>
    <w:unhideWhenUsed/>
    <w:rsid w:val="00BB069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09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2D092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D092B"/>
  </w:style>
  <w:style w:type="character" w:styleId="Hyperlink">
    <w:name w:val="Hyperlink"/>
    <w:basedOn w:val="DefaultParagraphFont"/>
    <w:uiPriority w:val="99"/>
    <w:unhideWhenUsed/>
    <w:rsid w:val="002D092B"/>
    <w:rPr>
      <w:color w:val="0000FF" w:themeColor="hyperlink"/>
      <w:u w:val="single"/>
    </w:rPr>
  </w:style>
  <w:style w:type="paragraph" w:styleId="ListParagraph">
    <w:name w:val="List Paragraph"/>
    <w:basedOn w:val="Normal"/>
    <w:uiPriority w:val="34"/>
    <w:qFormat/>
    <w:rsid w:val="002D092B"/>
    <w:pPr>
      <w:spacing w:after="0" w:line="240" w:lineRule="auto"/>
      <w:ind w:left="720"/>
      <w:contextualSpacing/>
    </w:pPr>
    <w:rPr>
      <w:rFonts w:ascii="Times New Roman" w:eastAsia="Times New Roman" w:hAnsi="Times New Roman" w:cs="Tahoma"/>
      <w:sz w:val="24"/>
      <w:szCs w:val="24"/>
    </w:rPr>
  </w:style>
  <w:style w:type="paragraph" w:styleId="BalloonText">
    <w:name w:val="Balloon Text"/>
    <w:basedOn w:val="Normal"/>
    <w:link w:val="BalloonTextChar"/>
    <w:uiPriority w:val="99"/>
    <w:semiHidden/>
    <w:unhideWhenUsed/>
    <w:rsid w:val="002D09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092B"/>
    <w:rPr>
      <w:rFonts w:ascii="Tahoma" w:hAnsi="Tahoma" w:cs="Tahoma"/>
      <w:sz w:val="16"/>
      <w:szCs w:val="16"/>
    </w:rPr>
  </w:style>
  <w:style w:type="character" w:styleId="FollowedHyperlink">
    <w:name w:val="FollowedHyperlink"/>
    <w:basedOn w:val="DefaultParagraphFont"/>
    <w:uiPriority w:val="99"/>
    <w:semiHidden/>
    <w:unhideWhenUsed/>
    <w:rsid w:val="00BB069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308</Words>
  <Characters>1761</Characters>
  <Application>Microsoft Office Word</Application>
  <DocSecurity>0</DocSecurity>
  <Lines>14</Lines>
  <Paragraphs>4</Paragraphs>
  <ScaleCrop>false</ScaleCrop>
  <Company>Newberry Library</Company>
  <LinksUpToDate>false</LinksUpToDate>
  <CharactersWithSpaces>2065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Meghan McCloud</dc:creator>
  <cp:lastModifiedBy>Meghan McCloud</cp:lastModifiedBy>
  <cp:revision>6</cp:revision>
  <dcterms:created xsi:type="dcterms:W3CDTF">2017-01-03T20:42:00Z</dcterms:created>
  <dcterms:modified xsi:type="dcterms:W3CDTF">2017-01-05T14:15:00Z</dcterms:modified>
</cp:coreProperties>
</file>